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pacing w:line="58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金华市科协</w:t>
      </w:r>
      <w:r>
        <w:rPr>
          <w:rFonts w:eastAsia="方正小标宋简体"/>
          <w:sz w:val="44"/>
          <w:szCs w:val="44"/>
        </w:rPr>
        <w:t>2021年度</w:t>
      </w:r>
      <w:r>
        <w:rPr>
          <w:rFonts w:eastAsia="方正小标宋简体"/>
          <w:sz w:val="44"/>
          <w:szCs w:val="44"/>
          <w:lang w:val="zh-CN"/>
        </w:rPr>
        <w:t>学术研究项目</w:t>
      </w:r>
      <w:r>
        <w:rPr>
          <w:rFonts w:hint="eastAsia" w:eastAsia="方正小标宋简体"/>
          <w:sz w:val="44"/>
          <w:szCs w:val="44"/>
          <w:lang w:val="zh-CN"/>
        </w:rPr>
        <w:t>征集方向</w:t>
      </w:r>
    </w:p>
    <w:bookmarkEnd w:id="0"/>
    <w:p>
      <w:pPr>
        <w:spacing w:line="8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1.积极融入长三角一体化发展；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2.加快都市区高质量协同发展；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3.推进组团式城市群特色发展；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4.加快发展现代产业体系，</w:t>
      </w:r>
      <w:r>
        <w:rPr>
          <w:rFonts w:eastAsia="仿宋_GB2312"/>
          <w:sz w:val="32"/>
          <w:szCs w:val="32"/>
        </w:rPr>
        <w:t>推动经济体系优化升级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.加快数字经济发展；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.实施创新驱动发展战略，推进产业平台整合创新提升；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.深化传统行业智能化改造；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.深度融入“一带一路”建设；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.加快打造全国性综合交通枢纽；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.积极发展</w:t>
      </w:r>
      <w:r>
        <w:rPr>
          <w:rFonts w:hint="eastAsia" w:eastAsia="仿宋_GB2312"/>
          <w:kern w:val="0"/>
          <w:sz w:val="32"/>
          <w:szCs w:val="32"/>
        </w:rPr>
        <w:t>现代</w:t>
      </w:r>
      <w:r>
        <w:rPr>
          <w:rFonts w:eastAsia="仿宋_GB2312"/>
          <w:kern w:val="0"/>
          <w:sz w:val="32"/>
          <w:szCs w:val="32"/>
        </w:rPr>
        <w:t xml:space="preserve">物流； 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</w:rPr>
        <w:t>加强“三农”工作，</w:t>
      </w:r>
      <w:r>
        <w:rPr>
          <w:rFonts w:eastAsia="仿宋_GB2312"/>
          <w:kern w:val="0"/>
          <w:sz w:val="32"/>
          <w:szCs w:val="32"/>
        </w:rPr>
        <w:t xml:space="preserve">促进乡村全面振兴； 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.加快打通“两山”转化通道；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.推进城乡一体化融合发展；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.加快提升城市能级品位；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.推进智慧城市发展；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</w:rPr>
        <w:t>加快八大重点细分行业发展</w:t>
      </w:r>
      <w:r>
        <w:rPr>
          <w:rFonts w:eastAsia="仿宋_GB2312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</w:rPr>
        <w:t>扩大优质教育公共服务供给</w:t>
      </w:r>
      <w:r>
        <w:rPr>
          <w:rFonts w:eastAsia="仿宋_GB2312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18</w:t>
      </w:r>
      <w:r>
        <w:rPr>
          <w:rFonts w:eastAsia="仿宋_GB2312"/>
          <w:kern w:val="0"/>
          <w:sz w:val="32"/>
          <w:szCs w:val="32"/>
        </w:rPr>
        <w:t>.加快发展</w:t>
      </w:r>
      <w:r>
        <w:rPr>
          <w:rFonts w:hint="eastAsia" w:eastAsia="仿宋_GB2312"/>
          <w:kern w:val="0"/>
          <w:sz w:val="32"/>
          <w:szCs w:val="32"/>
        </w:rPr>
        <w:t>普惠性</w:t>
      </w:r>
      <w:r>
        <w:rPr>
          <w:rFonts w:eastAsia="仿宋_GB2312"/>
          <w:kern w:val="0"/>
          <w:sz w:val="32"/>
          <w:szCs w:val="32"/>
        </w:rPr>
        <w:t>学前教育；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.提升职业教育服务水平；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</w:rPr>
        <w:t>提升医疗卫生服务水平</w:t>
      </w:r>
      <w:r>
        <w:rPr>
          <w:rFonts w:eastAsia="仿宋_GB2312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.完善疫情防控和公共卫生应急管理体制机制；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.加强康养联合体建设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加快养老事业和产业发展；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.巩固全国文明城市创建成果；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24</w:t>
      </w:r>
      <w:r>
        <w:rPr>
          <w:rFonts w:eastAsia="仿宋_GB2312"/>
          <w:kern w:val="0"/>
          <w:sz w:val="32"/>
          <w:szCs w:val="32"/>
        </w:rPr>
        <w:t>.持续推进城乡生活垃圾分类处理；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25</w:t>
      </w:r>
      <w:r>
        <w:rPr>
          <w:rFonts w:eastAsia="仿宋_GB2312"/>
          <w:kern w:val="0"/>
          <w:sz w:val="32"/>
          <w:szCs w:val="32"/>
        </w:rPr>
        <w:t>.加强污染防治；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26</w:t>
      </w:r>
      <w:r>
        <w:rPr>
          <w:rFonts w:eastAsia="仿宋_GB2312"/>
          <w:kern w:val="0"/>
          <w:sz w:val="32"/>
          <w:szCs w:val="32"/>
        </w:rPr>
        <w:t>.加强食品安全监管</w:t>
      </w:r>
      <w:r>
        <w:rPr>
          <w:rFonts w:hint="eastAsia" w:eastAsia="仿宋_GB2312"/>
          <w:kern w:val="0"/>
          <w:sz w:val="32"/>
          <w:szCs w:val="32"/>
        </w:rPr>
        <w:t>；</w:t>
      </w:r>
    </w:p>
    <w:p>
      <w:r>
        <w:rPr>
          <w:rFonts w:hint="eastAsia" w:eastAsia="仿宋_GB2312"/>
          <w:kern w:val="0"/>
          <w:sz w:val="32"/>
          <w:szCs w:val="32"/>
          <w:lang w:eastAsia="zh-CN"/>
        </w:rPr>
        <w:t>　　</w:t>
      </w:r>
      <w:r>
        <w:rPr>
          <w:rFonts w:hint="eastAsia" w:eastAsia="仿宋_GB2312"/>
          <w:kern w:val="0"/>
          <w:sz w:val="32"/>
          <w:szCs w:val="32"/>
        </w:rPr>
        <w:t>27.推进金华山旅游建设发展。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2637"/>
    <w:rsid w:val="5C9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2021-01-14T00:54:00Z</dcterms:created>
  <dc:creator>黎保锋</dc:creator>
  <cp:lastModifiedBy>黎保锋</cp:lastModifiedBy>
  <dcterms:modified xsi:type="dcterms:W3CDTF">2021-01-14T00:55:25Z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